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nw3z4315dt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SUPREME COURT OF THE STATE OF NEW YORK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c90aniq05y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COUNTY OF KINGS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RICHARD C. LITMAN,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—against—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JOSHUA B. GOLDBERG,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Defendant.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Index No. 524343/2025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s9jwdv8wqzr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PLAINTIFF’S VERIFIED BILL OF PARTICULARS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ndno7vvaq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 RESPONSE TO DEFENDANT’S DEMAND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Richard C. Litman, appearing pro se, responds to Defendant’s Demand for a Bill of Particulars dated February 13, 2026 as follows.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2pvay4jydb7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I. Preliminary Statement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Bill of Particulars is served pursuant to CPLR §3041 to amplify the allegations contained in Plaintiff’s Complaint.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responses herein are made without waiving objections and without limiting Plaintiff’s right to supplement, amend, or modify these responses as discovery proceeds.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18qg3w8idnh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II. Reservation of Rights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objects to the demand to the extent it seeks: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evidentiary matter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legal conclusions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information already within Defendant’s knowledge or possession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information obtainable through discovery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premature quantification of damages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reserves the right to supplement this Bill of Particulars as additional information becomes available.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tcbwei6kips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III. Continuing and Successive Publications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patent issued by the United States Patent and Trademark Office constitutes a separate publication bearing a distinct issue date and separate dissemination to the public.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alleges that Defendant continued to publish Plaintiff’s name in connection with patents and related professional listings after Plaintiff’s authority and consent had ceased.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such publication constitutes an independent use of Plaintiff’s identity for advertising and trade purposes within the meaning of New York Civil Rights Law §§50–51.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expressly rejects Defendant’s contention that all claims arise from a single publication or single accrual date.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165f3m6xh2x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IV. Knowledge and Intent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information and belief, Defendant knowingly permitted and caused Plaintiff’s name to appear on numerous patents and related public records identifying Plaintiff as a patent attorney associated with Defendant’s practice after Plaintiff’s authority and consent had ceased.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Defendant exercised control over the prosecution of the patent matters and the professional listings associated with those matters.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continued publication of Plaintiff’s name enhanced Defendant’s credibility with clients and prospective clients and appropriated the commercial value of Plaintiff’s professional identity.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4819n65jt9e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V. Professional Significance of Attorney Identification on Patents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Issued United States patents identify the attorney, agent, or firm associated with the prosecution of the patent application.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Within the patent profession and among research institutions, inventors, technology transfer offices, and potential clients, such identification functions as a professional credential and signal of responsibility or affiliation.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continued publication of Plaintiff’s name on patents therefore conveyed to the patent marketplace that Plaintiff remained professionally associated with Defendant’s practice.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owyy0z0hngg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VI. Institutional Client Context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patents described herein were issued in connection with inventions assigned to institutional clients of Defendant’s patent practice, including but not limited to: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King Faisal University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King Saud University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Kuwait University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United Arab Emirates University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Kuwait National Petroleum Company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institutions routinely review issued patents and related records identifying the attorneys associated with the prosecution of their inventions.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Defendant’s continued publication of Plaintiff’s name therefore enhanced Defendant’s credibility with those institutional clients.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rcn392orado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VII. Patents Violating New York Civil Rights Law §§50–51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identifies the patents listed in Exhibit A.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patents in Exhibit A were issued after July 21, 2024 and identify Plaintiff as attorney in connection with Defendant’s patent practice.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patents listed are representative examples only.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expressly reserves the right to supplement or expand this list as discovery proceeds and additional patents or publications are identified.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l8cablf8jy6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VIII. Damages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result of Defendant’s unauthorized use of Plaintiff’s name and identity, Plaintiff has suffered damages including: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Injury to Plaintiff’s statutory right to control the commercial use of his identity.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False association and false endorsement injury.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Reputational harm.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control over Plaintiff’s professional identity.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distress and humiliation.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Punitive damages due to willful and knowing conduct.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Injunctive relief prohibiting further unauthorized use.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relevant financial records are in Defendant’s possession, damages cannot yet be fully quantified prior to discovery.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svvid6u1ddk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IX. Other Uses of Plaintiff’s Identity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addition to the patents identified in Exhibit A, Defendant used Plaintiff’s name in connection with: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law firm website listings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professional attorney designations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USPTO attorney identification records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correspondence listings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other public professional representations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such use constituted publication of Plaintiff’s identity for advertising or trade purposes.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6evtqe2l54p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X. Audience for the Publications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publications were directed to audiences including: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inventors and patent applicants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university technology transfer offices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institutional research clients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prospective clients evaluating Defendant’s services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patent practitioners and competitors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the general public reviewing USPTO records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audiences are relevant to Defendant’s commercial patent practice.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v7ii98xbfgc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XI. Continuing Investigation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continues to review patent records and public materials.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will supplement this Bill of Particulars as discovery proceeds.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9mij1hz1x1v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WHEREFORE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seeks: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compensatory damages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punitive damages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injunctive relief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costs and disbursements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such other relief as the Court deems just and proper.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1np1qm7g6kw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VERIFICATION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Richard C. Litman, affirm under penalty of perjury that the foregoing is true to the best of my knowledge except where stated upon information and belief.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Brooklyn, New York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Richard C. Litman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Plaintiff Pro Se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pro5dmsol13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EXHIBIT A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jc81jpjdb1m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Representative Patents Issued After July 21, 2024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